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shd w:fill="ffffff" w:val="clear"/>
        <w:spacing w:before="240" w:line="240" w:lineRule="auto"/>
        <w:ind w:left="432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465a4"/>
          <w:sz w:val="48"/>
          <w:szCs w:val="48"/>
          <w:rtl w:val="0"/>
        </w:rPr>
        <w:t xml:space="preserve">Estratégia da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1"/>
        </w:numPr>
        <w:spacing w:line="240" w:lineRule="auto"/>
        <w:ind w:left="432"/>
        <w:rPr>
          <w:color w:val="2e75b5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color w:val="2e75b5"/>
          <w:rtl w:val="0"/>
        </w:rPr>
        <w:t xml:space="preserve">ESTRATÉGIA PARA A CONTRATAÇÃO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76" w:lineRule="auto"/>
        <w:ind w:firstLine="720"/>
        <w:jc w:val="both"/>
        <w:rPr>
          <w:rFonts w:ascii="Arial" w:cs="Arial" w:eastAsia="Arial" w:hAnsi="Arial"/>
          <w:color w:val="6666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 Estratégia para Contratação contém as informações necessárias e suficientes para subsidiar as decisões das demais áreas do órgão envolvidas no processo administrativo de contratação.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Natureza do Objeto</w:t>
      </w:r>
    </w:p>
    <w:p w:rsidR="00000000" w:rsidDel="00000000" w:rsidP="00000000" w:rsidRDefault="00000000" w:rsidRPr="00000000" w14:paraId="00000021">
      <w:pPr>
        <w:keepNext w:val="1"/>
        <w:keepLines w:val="1"/>
        <w:spacing w:after="120" w:before="200" w:line="276" w:lineRule="auto"/>
        <w:ind w:left="576" w:firstLine="0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De acordo com os requisitos e elementos que compõem a demanda e a solução de TI escolhida, informar se o objeto é inovador do ponto de vista tecnológico (algo novo no mercado), OU se possui características de soluções de TI comuns e usuais encontrados no mercado de TI, cujos padrões de desempenho e de qualidade podem ser objetivamente definidos. No caso de objetos predominantemente de serviço, informar se a prestação destina-se a atender uma necessidade pontual e instantânea, como treinamento, ou se é contínua, podendo se estender por mais de um exercício financeiro, como suporte técnico.</w:t>
      </w:r>
    </w:p>
    <w:p w:rsidR="00000000" w:rsidDel="00000000" w:rsidP="00000000" w:rsidRDefault="00000000" w:rsidRPr="00000000" w14:paraId="00000022">
      <w:pPr>
        <w:spacing w:after="120" w:line="276" w:lineRule="auto"/>
        <w:ind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Parcelamento do Objeto</w:t>
      </w:r>
    </w:p>
    <w:p w:rsidR="00000000" w:rsidDel="00000000" w:rsidP="00000000" w:rsidRDefault="00000000" w:rsidRPr="00000000" w14:paraId="00000025">
      <w:pPr>
        <w:spacing w:after="120" w:line="276" w:lineRule="auto"/>
        <w:ind w:firstLine="720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Deve-se avaliar e justificar se é técnica e economicamente viável dividir a solução de TI a ser contratada. Informar se o objeto pode ou não ser dividido em itens ou até mesmo em grupos. Em caso de divisão, verificar se há prejuízo nos resultados finais a serem obtidos. </w:t>
      </w:r>
    </w:p>
    <w:p w:rsidR="00000000" w:rsidDel="00000000" w:rsidP="00000000" w:rsidRDefault="00000000" w:rsidRPr="00000000" w14:paraId="00000026">
      <w:pPr>
        <w:spacing w:after="120" w:line="276" w:lineRule="auto"/>
        <w:ind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Adjudicação do Objeto</w:t>
      </w:r>
    </w:p>
    <w:p w:rsidR="00000000" w:rsidDel="00000000" w:rsidP="00000000" w:rsidRDefault="00000000" w:rsidRPr="00000000" w14:paraId="00000029">
      <w:pPr>
        <w:spacing w:after="120" w:line="276" w:lineRule="auto"/>
        <w:ind w:firstLine="720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De acordo com o parcelamento do objeto, informar se a adjudicação pode ou não ser realizada para mais de um fornecedor. Justificar a escolha. Esse item não se aplica aos casos de Dispensa ou Inexigibilidade.</w:t>
      </w:r>
    </w:p>
    <w:p w:rsidR="00000000" w:rsidDel="00000000" w:rsidP="00000000" w:rsidRDefault="00000000" w:rsidRPr="00000000" w14:paraId="0000002A">
      <w:pPr>
        <w:spacing w:after="120" w:line="276" w:lineRule="auto"/>
        <w:ind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Modalidade e Tipo de Licitação </w:t>
      </w:r>
    </w:p>
    <w:p w:rsidR="00000000" w:rsidDel="00000000" w:rsidP="00000000" w:rsidRDefault="00000000" w:rsidRPr="00000000" w14:paraId="0000002D">
      <w:pPr>
        <w:spacing w:after="120" w:line="276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 </w:t>
        <w:tab/>
        <w:t xml:space="preserve">De acordo com os requisitos e elementos que compõem a demanda e a solução de TI escolhida, bem como a natureza do objeto, sugerir o tipo de licitação a ser empregada na contratação. A regra é sempre Pregão e Eletrônico. A forma presencial deve ser fortemente fundamentada.</w:t>
      </w:r>
    </w:p>
    <w:p w:rsidR="00000000" w:rsidDel="00000000" w:rsidP="00000000" w:rsidRDefault="00000000" w:rsidRPr="00000000" w14:paraId="0000002E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Texto...</w:t>
      </w:r>
    </w:p>
    <w:p w:rsidR="00000000" w:rsidDel="00000000" w:rsidP="00000000" w:rsidRDefault="00000000" w:rsidRPr="00000000" w14:paraId="0000002F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Classificação Orçamentária </w:t>
      </w:r>
    </w:p>
    <w:p w:rsidR="00000000" w:rsidDel="00000000" w:rsidP="00000000" w:rsidRDefault="00000000" w:rsidRPr="00000000" w14:paraId="00000030">
      <w:pPr>
        <w:spacing w:after="120" w:line="276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 </w:t>
        <w:tab/>
        <w:t xml:space="preserve">Classificar o objeto ( custeio ou investimento). Especificar em harmonia com as informações contidas no Documento de Oficialização da Demanda. </w:t>
      </w:r>
    </w:p>
    <w:p w:rsidR="00000000" w:rsidDel="00000000" w:rsidP="00000000" w:rsidRDefault="00000000" w:rsidRPr="00000000" w14:paraId="00000031">
      <w:pPr>
        <w:spacing w:after="120" w:line="276" w:lineRule="auto"/>
        <w:ind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Texto…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Vigência da Prestação de Serviço</w:t>
      </w:r>
    </w:p>
    <w:p w:rsidR="00000000" w:rsidDel="00000000" w:rsidP="00000000" w:rsidRDefault="00000000" w:rsidRPr="00000000" w14:paraId="00000034">
      <w:pPr>
        <w:spacing w:after="120" w:line="276" w:lineRule="auto"/>
        <w:ind w:firstLine="720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 Informar o prazo e quando será iniciada a contagem da vigência da prestação de serviço, inclusive no caso de garantia técnica do objeto contratado. Quando a vigência se estender por mais de um exercício financeiro, informar a possibilidade de admissão de reequilíbrio econômico-financeiro de preço da prestação.</w:t>
      </w:r>
    </w:p>
    <w:p w:rsidR="00000000" w:rsidDel="00000000" w:rsidP="00000000" w:rsidRDefault="00000000" w:rsidRPr="00000000" w14:paraId="00000035">
      <w:pPr>
        <w:spacing w:after="120" w:line="276" w:lineRule="auto"/>
        <w:ind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numPr>
          <w:ilvl w:val="1"/>
          <w:numId w:val="1"/>
        </w:numPr>
        <w:spacing w:after="120" w:before="200" w:line="276" w:lineRule="auto"/>
        <w:ind w:left="578"/>
        <w:rPr>
          <w:color w:val="1f497d"/>
        </w:rPr>
      </w:pPr>
      <w:r w:rsidDel="00000000" w:rsidR="00000000" w:rsidRPr="00000000">
        <w:rPr>
          <w:rFonts w:ascii="Arial" w:cs="Arial" w:eastAsia="Arial" w:hAnsi="Arial"/>
          <w:color w:val="1f497d"/>
          <w:sz w:val="26"/>
          <w:szCs w:val="26"/>
          <w:rtl w:val="0"/>
        </w:rPr>
        <w:t xml:space="preserve">Equipe de Apoio à Contratação </w:t>
      </w:r>
    </w:p>
    <w:p w:rsidR="00000000" w:rsidDel="00000000" w:rsidP="00000000" w:rsidRDefault="00000000" w:rsidRPr="00000000" w14:paraId="00000038">
      <w:pPr>
        <w:spacing w:after="120" w:line="276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 </w:t>
        <w:tab/>
        <w:t xml:space="preserve">Informar os nomes, telefones e e-mails dos indicados a prestarem apoio à Comissão Permanente de Licitação. </w:t>
      </w:r>
    </w:p>
    <w:p w:rsidR="00000000" w:rsidDel="00000000" w:rsidP="00000000" w:rsidRDefault="00000000" w:rsidRPr="00000000" w14:paraId="00000039">
      <w:pPr>
        <w:spacing w:after="120" w:line="276" w:lineRule="auto"/>
        <w:ind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76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76" w:lineRule="auto"/>
        <w:ind w:firstLine="709"/>
        <w:jc w:val="right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Local e data (dd/mm/aaaa),</w:t>
      </w:r>
    </w:p>
    <w:p w:rsidR="00000000" w:rsidDel="00000000" w:rsidP="00000000" w:rsidRDefault="00000000" w:rsidRPr="00000000" w14:paraId="0000003E">
      <w:pPr>
        <w:spacing w:after="120" w:line="276" w:lineRule="auto"/>
        <w:ind w:firstLine="709"/>
        <w:jc w:val="both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52"/>
        <w:gridCol w:w="5052"/>
        <w:tblGridChange w:id="0">
          <w:tblGrid>
            <w:gridCol w:w="3652"/>
            <w:gridCol w:w="505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Integrante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52"/>
        <w:gridCol w:w="5052"/>
        <w:tblGridChange w:id="0">
          <w:tblGrid>
            <w:gridCol w:w="3652"/>
            <w:gridCol w:w="505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Integrante Demandante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u w:val="single"/>
        </w:rPr>
      </w:pPr>
      <w:bookmarkStart w:colFirst="0" w:colLast="0" w:name="_64vinwlhfn36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2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35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  <w:rtl w:val="0"/>
      </w:rPr>
      <w:t xml:space="preserve">COMPANHIA DE PROCESSAMENTO DE DADOS DA PARAÍBA 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35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  <w:rtl w:val="0"/>
      </w:rPr>
      <w:t xml:space="preserve">CNPJ 09.189.499/0001-00 - Rua Barão do Triunfo, 340, Varadouro – João Pessoa – PB – CEP: 58.010-400 – Fone: (83) 3208.4450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432" w:hanging="432"/>
      </w:pPr>
      <w:rPr>
        <w:rFonts w:ascii="Arial" w:cs="Arial" w:eastAsia="Arial" w:hAnsi="Arial"/>
        <w:b w:val="0"/>
        <w:color w:val="1f497d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cs="Arial" w:eastAsia="Arial" w:hAnsi="Arial"/>
        <w:sz w:val="32"/>
        <w:szCs w:val="3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